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FE" w:rsidRDefault="00A14BFE">
      <w:pPr>
        <w:pStyle w:val="ConsPlusTitlePage"/>
      </w:pPr>
      <w:bookmarkStart w:id="0" w:name="_GoBack"/>
      <w:bookmarkEnd w:id="0"/>
      <w:r>
        <w:br/>
      </w:r>
    </w:p>
    <w:p w:rsidR="00A14BFE" w:rsidRDefault="00A14BF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3"/>
        <w:gridCol w:w="4153"/>
      </w:tblGrid>
      <w:tr w:rsidR="00A14BFE"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A14BFE" w:rsidRDefault="00A14BFE">
            <w:pPr>
              <w:pStyle w:val="ConsPlusNormal"/>
            </w:pPr>
            <w:r>
              <w:t>3 октября 2019 года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A14BFE" w:rsidRDefault="00A14BFE">
            <w:pPr>
              <w:pStyle w:val="ConsPlusNormal"/>
              <w:jc w:val="right"/>
            </w:pPr>
            <w:r>
              <w:t>N 590-КЗ</w:t>
            </w:r>
          </w:p>
        </w:tc>
      </w:tr>
    </w:tbl>
    <w:p w:rsidR="00A14BFE" w:rsidRDefault="00A14B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4BFE" w:rsidRDefault="00A14BFE">
      <w:pPr>
        <w:pStyle w:val="ConsPlusNormal"/>
        <w:jc w:val="both"/>
      </w:pPr>
    </w:p>
    <w:p w:rsidR="00A14BFE" w:rsidRDefault="00A14BFE">
      <w:pPr>
        <w:pStyle w:val="ConsPlusTitle"/>
        <w:jc w:val="center"/>
      </w:pPr>
      <w:r>
        <w:t>ЗАКОН</w:t>
      </w:r>
    </w:p>
    <w:p w:rsidR="00A14BFE" w:rsidRDefault="00A14BFE">
      <w:pPr>
        <w:pStyle w:val="ConsPlusTitle"/>
        <w:jc w:val="center"/>
      </w:pPr>
      <w:r>
        <w:t>ПРИМОРСКОГО КРАЯ</w:t>
      </w:r>
    </w:p>
    <w:p w:rsidR="00A14BFE" w:rsidRDefault="00A14BFE">
      <w:pPr>
        <w:pStyle w:val="ConsPlusTitle"/>
        <w:jc w:val="both"/>
      </w:pPr>
    </w:p>
    <w:p w:rsidR="00A14BFE" w:rsidRDefault="00A14BFE">
      <w:pPr>
        <w:pStyle w:val="ConsPlusTitle"/>
        <w:jc w:val="center"/>
      </w:pPr>
      <w:r>
        <w:t>О ВНЕСЕНИИ ИЗМЕНЕНИЙ В ЗАКОН ПРИМОРСКОГО КРАЯ</w:t>
      </w:r>
    </w:p>
    <w:p w:rsidR="00A14BFE" w:rsidRDefault="00A14BFE">
      <w:pPr>
        <w:pStyle w:val="ConsPlusTitle"/>
        <w:jc w:val="center"/>
      </w:pPr>
      <w:r>
        <w:t>"ОБ УСТАНОВЛЕНИИ ПОНИЖЕННОЙ СТАВКИ НАЛОГА НА ПРИБЫЛЬ</w:t>
      </w:r>
    </w:p>
    <w:p w:rsidR="00A14BFE" w:rsidRDefault="00A14BFE">
      <w:pPr>
        <w:pStyle w:val="ConsPlusTitle"/>
        <w:jc w:val="center"/>
      </w:pPr>
      <w:r>
        <w:t>ОРГАНИЗАЦИЙ, ПОДЛЕЖАЩЕГО ЗАЧИСЛЕНИЮ В КРАЕВОЙ БЮДЖЕТ,</w:t>
      </w:r>
    </w:p>
    <w:p w:rsidR="00A14BFE" w:rsidRDefault="00A14BFE">
      <w:pPr>
        <w:pStyle w:val="ConsPlusTitle"/>
        <w:jc w:val="center"/>
      </w:pPr>
      <w:r>
        <w:t>ДЛЯ ОТДЕЛЬНЫХ КАТЕГОРИЙ ОРГАНИЗАЦИЙ"</w:t>
      </w:r>
    </w:p>
    <w:p w:rsidR="00A14BFE" w:rsidRDefault="00A14BFE">
      <w:pPr>
        <w:pStyle w:val="ConsPlusNormal"/>
        <w:jc w:val="both"/>
      </w:pPr>
    </w:p>
    <w:p w:rsidR="00A14BFE" w:rsidRDefault="00A14BFE">
      <w:pPr>
        <w:pStyle w:val="ConsPlusNormal"/>
        <w:jc w:val="right"/>
      </w:pPr>
      <w:r>
        <w:t>Принят</w:t>
      </w:r>
    </w:p>
    <w:p w:rsidR="00A14BFE" w:rsidRDefault="00A14BFE">
      <w:pPr>
        <w:pStyle w:val="ConsPlusNormal"/>
        <w:jc w:val="right"/>
      </w:pPr>
      <w:r>
        <w:t>Законодательным Собранием</w:t>
      </w:r>
    </w:p>
    <w:p w:rsidR="00A14BFE" w:rsidRDefault="00A14BFE">
      <w:pPr>
        <w:pStyle w:val="ConsPlusNormal"/>
        <w:jc w:val="right"/>
      </w:pPr>
      <w:r>
        <w:t>Приморского края</w:t>
      </w:r>
    </w:p>
    <w:p w:rsidR="00A14BFE" w:rsidRDefault="00A14BFE">
      <w:pPr>
        <w:pStyle w:val="ConsPlusNormal"/>
        <w:jc w:val="right"/>
      </w:pPr>
      <w:r>
        <w:t>25 сентября 2019 года</w:t>
      </w:r>
    </w:p>
    <w:p w:rsidR="00A14BFE" w:rsidRDefault="00A14BFE">
      <w:pPr>
        <w:pStyle w:val="ConsPlusNormal"/>
        <w:jc w:val="both"/>
      </w:pPr>
    </w:p>
    <w:p w:rsidR="00A14BFE" w:rsidRDefault="00A14BFE">
      <w:pPr>
        <w:pStyle w:val="ConsPlusTitle"/>
        <w:ind w:firstLine="540"/>
        <w:jc w:val="both"/>
        <w:outlineLvl w:val="0"/>
      </w:pPr>
      <w:r>
        <w:t>Статья 1</w:t>
      </w:r>
    </w:p>
    <w:p w:rsidR="00A14BFE" w:rsidRDefault="00A14BFE">
      <w:pPr>
        <w:pStyle w:val="ConsPlusNormal"/>
        <w:jc w:val="both"/>
      </w:pPr>
    </w:p>
    <w:p w:rsidR="00A14BFE" w:rsidRDefault="00A14BFE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Закон</w:t>
        </w:r>
      </w:hyperlink>
      <w:r>
        <w:t xml:space="preserve"> Приморского края от 19 декабря 2013 года N 330-КЗ "Об установлении пониженной ставки налога на прибыль организаций, подлежащего зачислению в краевой бюджет, для отдельных категорий организаций" (Ведомости Законодательного Собрания Приморского края, 2013, N 64, стр. 142; 2014, N 103, стр. 91; 2015, N 132, стр. 14, N 141, стр. 49; 2017, N 32, стр. 49; 2018, N 54, стр. 25) следующие изменения: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наименование</w:t>
        </w:r>
      </w:hyperlink>
      <w:r>
        <w:t xml:space="preserve"> Закона изложить в следующей редакции: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"Об установлении пониженной ставки налога на прибыль организаций, подлежащего зачислению в краевой бюджет, для отдельных категорий организаций, инвестиционного налогового вычета по налогу на прибыль организаций";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дополнить</w:t>
        </w:r>
      </w:hyperlink>
      <w:r>
        <w:t xml:space="preserve"> статьей 2(4) следующего содержания: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"Статья 2(4)</w:t>
      </w:r>
    </w:p>
    <w:p w:rsidR="00A14BFE" w:rsidRDefault="00A14BFE">
      <w:pPr>
        <w:pStyle w:val="ConsPlusNormal"/>
        <w:jc w:val="both"/>
      </w:pPr>
    </w:p>
    <w:p w:rsidR="00A14BFE" w:rsidRDefault="00A14BFE">
      <w:pPr>
        <w:pStyle w:val="ConsPlusNormal"/>
        <w:ind w:firstLine="540"/>
        <w:jc w:val="both"/>
      </w:pPr>
      <w:r>
        <w:t xml:space="preserve">1. Инвестиционный налоговый вычет по налогу на прибыль организаций в отношении расходов налогоплательщиков, указанных в </w:t>
      </w:r>
      <w:hyperlink r:id="rId8" w:history="1">
        <w:r>
          <w:rPr>
            <w:color w:val="0000FF"/>
          </w:rPr>
          <w:t>подпунктах 1</w:t>
        </w:r>
      </w:hyperlink>
      <w:r>
        <w:t xml:space="preserve">, </w:t>
      </w:r>
      <w:hyperlink r:id="rId9" w:history="1">
        <w:r>
          <w:rPr>
            <w:color w:val="0000FF"/>
          </w:rPr>
          <w:t>2 пункта 2 статьи 286(1)</w:t>
        </w:r>
      </w:hyperlink>
      <w:r>
        <w:t xml:space="preserve"> Налогового кодекса Российской Федерации, вправе применяться организациями (обособленными подразделениями организаций), расположенными на территории Приморского края, отвечающими одному или нескольким условиям: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 xml:space="preserve">1) основным видом экономической деятельности которых является один из следующих видов экономической деятельности Общероссийского классификатора видов экономической деятельности при условии, что величина </w:t>
      </w:r>
      <w:r>
        <w:lastRenderedPageBreak/>
        <w:t>выручки от такого вида деятельности за налоговый (отчетный) период составляет 80 процентов и более в общем объеме выручки от реализации товаров (работ, услуг):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Раздел A. "Сельское, лесное хозяйство, охота, рыболовство и рыбоводство":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01. Растениеводство и животноводство, охота и предоставление соответствующих услуг в этих областях;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02. Лесоводство и лесозаготовки;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03. Рыболовство и рыбоводство.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Раздел B. "Добыча полезных ископаемых":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05. Добыча угля;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07. Добыча металлических руд;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08. Добыча прочих полезных ископаемых.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Раздел C. "Обрабатывающие производства":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10. Производство пищевых продуктов;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16.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20. Производство химических веществ и химических продуктов;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26. Производство компьютеров, электронных и оптических изделий;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27. Производство электрического оборудования;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28. Производство машин и оборудования, не включенных в другие группировки;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29. Производство автотранспортных средств, прицепов и полуприцепов;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30. Производство прочих транспортных средств и оборудования;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33. Ремонт и монтаж машин и оборудования.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Раздел H. "Транспортировка и хранение":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50. Деятельность водного транспорта;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52. Складское хозяйство и вспомогательная транспортная деятельность;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2) инвестиционные проекты которых включены в реестр приоритетных инвестиционных проектов Приморского края;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lastRenderedPageBreak/>
        <w:t>3) реализующими инвестиционные проекты на территории Приморского края на принципах государственно-частного партнерства.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 xml:space="preserve">2. Инвестиционный налоговый вычет по налогу на прибыль организаций в отношении расходов налогоплательщиков, указанных в </w:t>
      </w:r>
      <w:hyperlink r:id="rId10" w:history="1">
        <w:r>
          <w:rPr>
            <w:color w:val="0000FF"/>
          </w:rPr>
          <w:t>подпунктах 1</w:t>
        </w:r>
      </w:hyperlink>
      <w:r>
        <w:t xml:space="preserve">, </w:t>
      </w:r>
      <w:hyperlink r:id="rId11" w:history="1">
        <w:r>
          <w:rPr>
            <w:color w:val="0000FF"/>
          </w:rPr>
          <w:t>2 пункта 2 статьи 286(1)</w:t>
        </w:r>
      </w:hyperlink>
      <w:r>
        <w:t xml:space="preserve"> Налогового кодекса Российской Федерации, применяется ко всем объектам основных средств, за исключением легковых автомобилей, мотоциклов, спортивных, туристских и прогулочных судов.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 xml:space="preserve">3. Размер инвестиционного налогового вычета по налогу на прибыль организаций в отношении расходов, указанных в </w:t>
      </w:r>
      <w:hyperlink r:id="rId12" w:history="1">
        <w:r>
          <w:rPr>
            <w:color w:val="0000FF"/>
          </w:rPr>
          <w:t>подпунктах 1</w:t>
        </w:r>
      </w:hyperlink>
      <w:r>
        <w:t xml:space="preserve">, </w:t>
      </w:r>
      <w:hyperlink r:id="rId13" w:history="1">
        <w:r>
          <w:rPr>
            <w:color w:val="0000FF"/>
          </w:rPr>
          <w:t>2 пункта 2 статьи 286(1)</w:t>
        </w:r>
      </w:hyperlink>
      <w:r>
        <w:t xml:space="preserve"> Налогового кодекса Российской Федерации, составляет: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для налогоплательщиков, указанных в пункте 1 части 1 настоящей статьи, - 80 процентов суммы расходов;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для налогоплательщиков, указанных в пунктах 2 и 3 части 1 настоящей статьи, - 90 процентов суммы расходов.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4. Инвестиционный налоговый вычет по налогу на прибыль организаций применяется в отношении расходов в виде пожертвований, перечисленных государственным, муниципальным учреждениям, осуществляющим деятельность в области культуры, местом нахождения которых является территория Приморского края, основным видом экономической деятельности которых является один из следующих видов экономической деятельности Общероссийского классификатора видов экономической деятельности: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Раздел R. "Деятельность в области культуры, спорта, организации досуга и развлечений":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90. Деятельность творческая, деятельность в области искусства и организации развлечений;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91. Деятельность библиотек, архивов, музеев и прочих объектов культуры.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5. Установить предельную сумму расходов в виде пожертвований, указанных в части 4 настоящей статьи, при определении инвестиционного налогового вычета в размере 100 процентов расходов.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>6. Установить ставку налога на прибыль организаций, подлежащего зачислению в краевой бюджет, для определения предельной величины инвестиционного налогового вычета в размере 5 процентов.</w:t>
      </w:r>
    </w:p>
    <w:p w:rsidR="00A14BFE" w:rsidRDefault="00A14BFE">
      <w:pPr>
        <w:pStyle w:val="ConsPlusNormal"/>
        <w:spacing w:before="240"/>
        <w:ind w:firstLine="540"/>
        <w:jc w:val="both"/>
      </w:pPr>
      <w:r>
        <w:t xml:space="preserve">7. Установить, что сумма расходов налогоплательщика, указанных в </w:t>
      </w:r>
      <w:hyperlink r:id="rId14" w:history="1">
        <w:r>
          <w:rPr>
            <w:color w:val="0000FF"/>
          </w:rPr>
          <w:t>подпунктах 1</w:t>
        </w:r>
      </w:hyperlink>
      <w:r>
        <w:t xml:space="preserve">, </w:t>
      </w:r>
      <w:hyperlink r:id="rId15" w:history="1">
        <w:r>
          <w:rPr>
            <w:color w:val="0000FF"/>
          </w:rPr>
          <w:t>2</w:t>
        </w:r>
      </w:hyperlink>
      <w:r>
        <w:t xml:space="preserve">, </w:t>
      </w:r>
      <w:hyperlink r:id="rId16" w:history="1">
        <w:r>
          <w:rPr>
            <w:color w:val="0000FF"/>
          </w:rPr>
          <w:t>3 пункта 2 статьи 286(1)</w:t>
        </w:r>
      </w:hyperlink>
      <w:r>
        <w:t xml:space="preserve"> Налогового кодекса Российской Федерации, превышающая в налоговом (отчетном) периоде предельную величину инвестиционного налогового вычета, не может быть учтена при определении инвестиционного налогового вычета в последующих налоговых (отчетных) периодах.".</w:t>
      </w:r>
    </w:p>
    <w:p w:rsidR="00A14BFE" w:rsidRDefault="00A14BFE">
      <w:pPr>
        <w:pStyle w:val="ConsPlusNormal"/>
        <w:jc w:val="both"/>
      </w:pPr>
    </w:p>
    <w:p w:rsidR="00A14BFE" w:rsidRDefault="00A14BFE">
      <w:pPr>
        <w:pStyle w:val="ConsPlusTitle"/>
        <w:ind w:firstLine="540"/>
        <w:jc w:val="both"/>
        <w:outlineLvl w:val="0"/>
      </w:pPr>
      <w:r>
        <w:t>Статья 2</w:t>
      </w:r>
    </w:p>
    <w:p w:rsidR="00A14BFE" w:rsidRDefault="00A14BFE">
      <w:pPr>
        <w:pStyle w:val="ConsPlusNormal"/>
        <w:jc w:val="both"/>
      </w:pPr>
    </w:p>
    <w:p w:rsidR="00A14BFE" w:rsidRDefault="00A14BFE">
      <w:pPr>
        <w:pStyle w:val="ConsPlusNormal"/>
        <w:ind w:firstLine="540"/>
        <w:jc w:val="both"/>
      </w:pPr>
      <w:r>
        <w:lastRenderedPageBreak/>
        <w:t>Настоящий Закон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налогу на прибыль организаций.</w:t>
      </w:r>
    </w:p>
    <w:p w:rsidR="00A14BFE" w:rsidRDefault="00A14BFE">
      <w:pPr>
        <w:pStyle w:val="ConsPlusNormal"/>
        <w:jc w:val="both"/>
      </w:pPr>
    </w:p>
    <w:p w:rsidR="00A14BFE" w:rsidRDefault="00A14BFE">
      <w:pPr>
        <w:pStyle w:val="ConsPlusNormal"/>
        <w:jc w:val="right"/>
      </w:pPr>
      <w:r>
        <w:t>Губернатор края</w:t>
      </w:r>
    </w:p>
    <w:p w:rsidR="00A14BFE" w:rsidRDefault="00A14BFE">
      <w:pPr>
        <w:pStyle w:val="ConsPlusNormal"/>
        <w:jc w:val="right"/>
      </w:pPr>
      <w:r>
        <w:t>О.Н.КОЖЕМЯКО</w:t>
      </w:r>
    </w:p>
    <w:p w:rsidR="00A14BFE" w:rsidRDefault="00A14BFE">
      <w:pPr>
        <w:pStyle w:val="ConsPlusNormal"/>
      </w:pPr>
      <w:r>
        <w:t>г. Владивосток</w:t>
      </w:r>
    </w:p>
    <w:p w:rsidR="00A14BFE" w:rsidRDefault="00A14BFE">
      <w:pPr>
        <w:pStyle w:val="ConsPlusNormal"/>
        <w:spacing w:before="240"/>
      </w:pPr>
      <w:r>
        <w:t>3 октября 2019 года</w:t>
      </w:r>
    </w:p>
    <w:p w:rsidR="00A14BFE" w:rsidRDefault="00A14BFE">
      <w:pPr>
        <w:pStyle w:val="ConsPlusNormal"/>
        <w:spacing w:before="240"/>
      </w:pPr>
      <w:r>
        <w:t>N 590-КЗ</w:t>
      </w:r>
    </w:p>
    <w:p w:rsidR="00A14BFE" w:rsidRDefault="00A14BFE">
      <w:pPr>
        <w:pStyle w:val="ConsPlusNormal"/>
        <w:jc w:val="both"/>
      </w:pPr>
    </w:p>
    <w:p w:rsidR="00A14BFE" w:rsidRDefault="00A14BFE">
      <w:pPr>
        <w:pStyle w:val="ConsPlusNormal"/>
        <w:jc w:val="both"/>
      </w:pPr>
    </w:p>
    <w:p w:rsidR="00A14BFE" w:rsidRDefault="00A14B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9B3" w:rsidRDefault="003309B3"/>
    <w:sectPr w:rsidR="003309B3" w:rsidSect="0025459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FE"/>
    <w:rsid w:val="001D4094"/>
    <w:rsid w:val="002F27F9"/>
    <w:rsid w:val="003309B3"/>
    <w:rsid w:val="003D70C5"/>
    <w:rsid w:val="005B751B"/>
    <w:rsid w:val="006E5FC4"/>
    <w:rsid w:val="007B473E"/>
    <w:rsid w:val="00803772"/>
    <w:rsid w:val="00973422"/>
    <w:rsid w:val="009E032C"/>
    <w:rsid w:val="00A14BFE"/>
    <w:rsid w:val="00A53D29"/>
    <w:rsid w:val="00A8150E"/>
    <w:rsid w:val="00AD7082"/>
    <w:rsid w:val="00B94E39"/>
    <w:rsid w:val="00BA40A0"/>
    <w:rsid w:val="00D82BC3"/>
    <w:rsid w:val="00DF724B"/>
    <w:rsid w:val="00F1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BF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14BF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14BFE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BF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14BF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14BFE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148E93C371F93950296760E320AFAB2218B36E37085EE30D8E7911DD9484F94C4088E2EFDC52362BF0B66ED2E3802F0916A7F2EB6799e947A" TargetMode="External"/><Relationship Id="rId13" Type="http://schemas.openxmlformats.org/officeDocument/2006/relationships/hyperlink" Target="consultantplus://offline/ref=DB148E93C371F93950296760E320AFAB2218B36E37085EE30D8E7911DD9484F94C4088E2EFDC52372BF0B66ED2E3802F0916A7F2EB6799e947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148E93C371F9395029796DF54CF1A42111EB663F0A52B453D97F4682C482AC0C008EB7B998063321A1F92B87F0832A16e14EA" TargetMode="External"/><Relationship Id="rId12" Type="http://schemas.openxmlformats.org/officeDocument/2006/relationships/hyperlink" Target="consultantplus://offline/ref=DB148E93C371F93950296760E320AFAB2218B36E37085EE30D8E7911DD9484F94C4088E2EFDC52362BF0B66ED2E3802F0916A7F2EB6799e947A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B148E93C371F93950296760E320AFAB2218B36E37085EE30D8E7911DD9484F94C4088E2EFDC513E2BF0B66ED2E3802F0916A7F2EB6799e947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148E93C371F9395029796DF54CF1A42111EB663F0A52B453D97F4682C482AC0C008EB7AB985E3F20A4E72A83E5D57B5342AAEDEC79999E191B24CAe04FA" TargetMode="External"/><Relationship Id="rId11" Type="http://schemas.openxmlformats.org/officeDocument/2006/relationships/hyperlink" Target="consultantplus://offline/ref=DB148E93C371F93950296760E320AFAB2218B36E37085EE30D8E7911DD9484F94C4088E2EFDC52372BF0B66ED2E3802F0916A7F2EB6799e947A" TargetMode="External"/><Relationship Id="rId5" Type="http://schemas.openxmlformats.org/officeDocument/2006/relationships/hyperlink" Target="consultantplus://offline/ref=DB148E93C371F9395029796DF54CF1A42111EB663F0A52B453D97F4682C482AC0C008EB7B998063321A1F92B87F0832A16e14EA" TargetMode="External"/><Relationship Id="rId15" Type="http://schemas.openxmlformats.org/officeDocument/2006/relationships/hyperlink" Target="consultantplus://offline/ref=DB148E93C371F93950296760E320AFAB2218B36E37085EE30D8E7911DD9484F94C4088E2EFDC52372BF0B66ED2E3802F0916A7F2EB6799e947A" TargetMode="External"/><Relationship Id="rId10" Type="http://schemas.openxmlformats.org/officeDocument/2006/relationships/hyperlink" Target="consultantplus://offline/ref=DB148E93C371F93950296760E320AFAB2218B36E37085EE30D8E7911DD9484F94C4088E2EFDC52362BF0B66ED2E3802F0916A7F2EB6799e94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148E93C371F93950296760E320AFAB2218B36E37085EE30D8E7911DD9484F94C4088E2EFDC52372BF0B66ED2E3802F0916A7F2EB6799e947A" TargetMode="External"/><Relationship Id="rId14" Type="http://schemas.openxmlformats.org/officeDocument/2006/relationships/hyperlink" Target="consultantplus://offline/ref=DB148E93C371F93950296760E320AFAB2218B36E37085EE30D8E7911DD9484F94C4088E2EFDC52362BF0B66ED2E3802F0916A7F2EB6799e94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Олеся Андреевна</dc:creator>
  <cp:lastModifiedBy>Новикова Олеся Андреевна</cp:lastModifiedBy>
  <cp:revision>1</cp:revision>
  <cp:lastPrinted>1900-12-31T14:00:00Z</cp:lastPrinted>
  <dcterms:created xsi:type="dcterms:W3CDTF">2019-10-15T00:56:00Z</dcterms:created>
  <dcterms:modified xsi:type="dcterms:W3CDTF">2019-10-15T00:57:00Z</dcterms:modified>
</cp:coreProperties>
</file>